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169" w:rsidRDefault="004C6169">
      <w:r w:rsidRPr="00141B3A">
        <w:rPr>
          <w:b/>
          <w:noProof/>
          <w:sz w:val="20"/>
          <w:szCs w:val="20"/>
          <w:lang w:eastAsia="el-GR"/>
        </w:rPr>
        <w:drawing>
          <wp:inline distT="0" distB="0" distL="0" distR="0">
            <wp:extent cx="600075" cy="5905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0490" w:type="dxa"/>
        <w:tblInd w:w="-142" w:type="dxa"/>
        <w:tblLook w:val="04A0" w:firstRow="1" w:lastRow="0" w:firstColumn="1" w:lastColumn="0" w:noHBand="0" w:noVBand="1"/>
      </w:tblPr>
      <w:tblGrid>
        <w:gridCol w:w="10490"/>
      </w:tblGrid>
      <w:tr w:rsidR="004C6169" w:rsidRPr="004C6169" w:rsidTr="004C6169">
        <w:tc>
          <w:tcPr>
            <w:tcW w:w="10490" w:type="dxa"/>
          </w:tcPr>
          <w:p w:rsidR="004C6169" w:rsidRPr="004C6169" w:rsidRDefault="004C6169" w:rsidP="004C6169">
            <w:pPr>
              <w:suppressAutoHyphens/>
              <w:spacing w:after="100" w:line="240" w:lineRule="auto"/>
              <w:ind w:left="-106"/>
              <w:jc w:val="both"/>
              <w:rPr>
                <w:rFonts w:ascii="Calibri" w:eastAsia="MS Mincho" w:hAnsi="Calibri" w:cs="Calibri"/>
                <w:sz w:val="20"/>
                <w:szCs w:val="20"/>
                <w:lang w:val="en-US" w:eastAsia="ja-JP"/>
              </w:rPr>
            </w:pP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 xml:space="preserve"> ΕΛΛΗΝΙΚΗ ΔΗΜΟΚΡΑΤΙΑ                                                                                                       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4C6169" w:rsidRPr="004C6169" w:rsidTr="004C6169">
        <w:tc>
          <w:tcPr>
            <w:tcW w:w="10490" w:type="dxa"/>
          </w:tcPr>
          <w:p w:rsidR="004C6169" w:rsidRPr="004C6169" w:rsidRDefault="004C6169" w:rsidP="004C6169">
            <w:pPr>
              <w:suppressAutoHyphens/>
              <w:spacing w:after="100" w:line="240" w:lineRule="auto"/>
              <w:ind w:left="-142"/>
              <w:jc w:val="both"/>
              <w:rPr>
                <w:rFonts w:ascii="Calibri" w:eastAsia="MS Mincho" w:hAnsi="Calibri" w:cs="Calibri"/>
                <w:sz w:val="20"/>
                <w:szCs w:val="20"/>
                <w:lang w:val="en-US" w:eastAsia="ja-JP"/>
              </w:rPr>
            </w:pP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>ΝΟΜΟΣ ΑΤΤΙΚΗΣ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4C6169" w:rsidRPr="004C6169" w:rsidTr="004C6169">
        <w:tc>
          <w:tcPr>
            <w:tcW w:w="10490" w:type="dxa"/>
          </w:tcPr>
          <w:p w:rsidR="004C6169" w:rsidRPr="004C6169" w:rsidRDefault="004C6169" w:rsidP="004C6169">
            <w:pPr>
              <w:suppressAutoHyphens/>
              <w:spacing w:after="100" w:line="240" w:lineRule="auto"/>
              <w:ind w:left="-142"/>
              <w:jc w:val="both"/>
              <w:rPr>
                <w:rFonts w:ascii="Calibri" w:eastAsia="MS Mincho" w:hAnsi="Calibri" w:cs="Calibri"/>
                <w:sz w:val="20"/>
                <w:szCs w:val="20"/>
                <w:lang w:eastAsia="ja-JP"/>
              </w:rPr>
            </w:pP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>ΔΗΜΟΣ ΕΛΕΥΣΙΝΑΣ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                                                                               </w:t>
            </w:r>
            <w:proofErr w:type="spellStart"/>
            <w:r w:rsidRPr="004C6169">
              <w:rPr>
                <w:rFonts w:ascii="Calibri" w:eastAsia="MS Mincho" w:hAnsi="Calibri" w:cs="Calibri"/>
                <w:sz w:val="20"/>
                <w:szCs w:val="20"/>
                <w:lang w:val="en-US" w:eastAsia="ja-JP"/>
              </w:rPr>
              <w:t>Κωδικός</w:t>
            </w:r>
            <w:proofErr w:type="spellEnd"/>
            <w:r w:rsidRPr="004C6169">
              <w:rPr>
                <w:rFonts w:ascii="Calibri" w:eastAsia="MS Mincho" w:hAnsi="Calibri" w:cs="Calibri"/>
                <w:sz w:val="20"/>
                <w:szCs w:val="20"/>
                <w:lang w:val="en-US" w:eastAsia="ja-JP"/>
              </w:rPr>
              <w:t xml:space="preserve"> CPV</w:t>
            </w:r>
            <w:r w:rsidRPr="004C6169">
              <w:rPr>
                <w:rFonts w:ascii="Calibri" w:eastAsia="MS Mincho" w:hAnsi="Calibri" w:cs="Calibri"/>
                <w:sz w:val="20"/>
                <w:szCs w:val="20"/>
                <w:lang w:eastAsia="ja-JP"/>
              </w:rPr>
              <w:t>:</w:t>
            </w:r>
          </w:p>
        </w:tc>
      </w:tr>
      <w:tr w:rsidR="004C6169" w:rsidRPr="004C6169" w:rsidTr="004C6169">
        <w:tc>
          <w:tcPr>
            <w:tcW w:w="10490" w:type="dxa"/>
          </w:tcPr>
          <w:p w:rsidR="004C6169" w:rsidRPr="004C6169" w:rsidRDefault="004C6169" w:rsidP="004C6169">
            <w:pPr>
              <w:suppressAutoHyphens/>
              <w:spacing w:after="100" w:line="240" w:lineRule="auto"/>
              <w:ind w:left="-142"/>
              <w:jc w:val="both"/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</w:pP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 xml:space="preserve">ΔΕΥΘΥΝΣΗ ΟΙΚΟΝΟΜΙΚΩΝ ΥΠΗΡΕΣΙΩΝ                                        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                                      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 xml:space="preserve">                                                                                                        </w:t>
            </w:r>
          </w:p>
        </w:tc>
      </w:tr>
      <w:tr w:rsidR="004C6169" w:rsidRPr="004C6169" w:rsidTr="004C6169">
        <w:tc>
          <w:tcPr>
            <w:tcW w:w="10490" w:type="dxa"/>
          </w:tcPr>
          <w:p w:rsidR="004C6169" w:rsidRPr="004C6169" w:rsidRDefault="004C6169" w:rsidP="004C6169">
            <w:pPr>
              <w:suppressAutoHyphens/>
              <w:spacing w:after="100" w:line="240" w:lineRule="auto"/>
              <w:ind w:left="-142"/>
              <w:jc w:val="both"/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</w:pP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val="en-US" w:eastAsia="ja-JP"/>
              </w:rPr>
              <w:t xml:space="preserve"> </w:t>
            </w:r>
            <w:r w:rsidRPr="004C6169"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  <w:t>ΤΜΗΜΑ ΔΗΜΟΠΡΑΣΙΩΝ</w:t>
            </w:r>
          </w:p>
          <w:p w:rsidR="004C6169" w:rsidRPr="004C6169" w:rsidRDefault="004C6169" w:rsidP="004C6169">
            <w:pPr>
              <w:suppressAutoHyphens/>
              <w:spacing w:after="100" w:line="240" w:lineRule="auto"/>
              <w:ind w:left="-142"/>
              <w:jc w:val="both"/>
              <w:rPr>
                <w:rFonts w:ascii="Calibri" w:eastAsia="MS Mincho" w:hAnsi="Calibri" w:cs="Calibri"/>
                <w:b/>
                <w:sz w:val="20"/>
                <w:szCs w:val="20"/>
                <w:lang w:eastAsia="ja-JP"/>
              </w:rPr>
            </w:pPr>
          </w:p>
        </w:tc>
      </w:tr>
    </w:tbl>
    <w:p w:rsidR="004C6169" w:rsidRPr="004C6169" w:rsidRDefault="004C6169" w:rsidP="004C6169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val="en-US" w:eastAsia="zh-CN"/>
        </w:rPr>
      </w:pPr>
    </w:p>
    <w:p w:rsidR="004C6169" w:rsidRPr="004C6169" w:rsidRDefault="004C6169" w:rsidP="004C6169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zh-CN"/>
        </w:rPr>
      </w:pPr>
      <w:r w:rsidRPr="004C6169">
        <w:rPr>
          <w:rFonts w:ascii="Calibri" w:eastAsia="Times New Roman" w:hAnsi="Calibri" w:cs="Calibri"/>
          <w:b/>
          <w:szCs w:val="24"/>
          <w:u w:val="single"/>
          <w:lang w:eastAsia="zh-CN"/>
        </w:rPr>
        <w:t>ΦΥΛΛΟ ΣΥΜΜΟΡΦΩΣΗΣ</w:t>
      </w:r>
    </w:p>
    <w:p w:rsidR="004C6169" w:rsidRPr="004C6169" w:rsidRDefault="004C6169" w:rsidP="004C6169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val="en-US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4978"/>
        <w:gridCol w:w="1435"/>
        <w:gridCol w:w="1257"/>
      </w:tblGrid>
      <w:tr w:rsidR="004C6169" w:rsidRPr="004C6169" w:rsidTr="000F3410">
        <w:tc>
          <w:tcPr>
            <w:tcW w:w="9855" w:type="dxa"/>
            <w:gridSpan w:val="4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  <w:t>ΤΕΧΝΙΚΗ ΠΡΟΣΦΟΡΑ</w:t>
            </w:r>
          </w:p>
        </w:tc>
      </w:tr>
      <w:tr w:rsidR="004C6169" w:rsidRPr="004C6169" w:rsidTr="000F3410">
        <w:trPr>
          <w:trHeight w:val="333"/>
        </w:trPr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Α/Α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  <w:t>ΤΕΧΝΙΚΑ ΧΑΡΑΚΤΗΡΙΣΤΙΚΑ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  <w:t>ΑΠΑΙΤΗΣΗ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b/>
                <w:bCs/>
                <w:szCs w:val="24"/>
                <w:lang w:eastAsia="zh-CN"/>
              </w:rPr>
              <w:t>ΑΠΑΝΤΗΣΗ</w:t>
            </w: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1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Σωματικές βλάβες τρίτων ανά θύμα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2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Υλικές ζημιές τρίτων ανά ατύχημα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3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Υλικές ζημιές από ανασφάλιστο όχημα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4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 xml:space="preserve">Προστασία </w:t>
            </w:r>
            <w:proofErr w:type="spellStart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bonus</w:t>
            </w:r>
            <w:proofErr w:type="spellEnd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 xml:space="preserve"> </w:t>
            </w:r>
            <w:proofErr w:type="spellStart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malus</w:t>
            </w:r>
            <w:proofErr w:type="spellEnd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rPr>
          <w:trHeight w:val="765"/>
        </w:trPr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5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Για όλα τα μηχανήματα έργου να υπάρχει και κάλυψη αστικής ευθύνης  κατά την λειτουργία τους.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6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 xml:space="preserve">Η κάλυψη αστικής ευθύνης  κατά την λειτουργία τους να  παρέχεται σε όλα τα περιγραφόμενα οχήματα και σε όσα άλλα νέα  οχήματα με παρόμοιες </w:t>
            </w:r>
            <w:proofErr w:type="spellStart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υπερκατασκευές</w:t>
            </w:r>
            <w:proofErr w:type="spellEnd"/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 xml:space="preserve"> προστεθούν στον Δήμο μετά την ημερομηνία σύνταξης της παρούσας μελέτης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7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Η κάλυψη αστικής ευθύνης  κατά την λειτουργία τους να  παρέχεται και σε όποια νέα  ή υπάρχοντα  οχήματα τοποθετηθούν μηχανισμοί ανυψωτικών μηχανισμών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8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Θραύση κρυστάλλων  για όλα τα οχήματα και μηχανήματα έργου όπως αυτά  αναφέρονται στον πίνακα που  παρατίθεται.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9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Φροντίδα ατυχήματος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10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Οδική  βοήθεια για όλα τα οχήματα, δίκυκλα και μηχανήματα έργου έως των 26 τόνων όπως αυτά  αναφέρονται στους πίνακες</w:t>
            </w:r>
            <w:r w:rsidRPr="004C6169">
              <w:rPr>
                <w:rFonts w:ascii="Calibri" w:eastAsia="Times New Roman" w:hAnsi="Calibri" w:cs="Calibri"/>
                <w:szCs w:val="24"/>
                <w:lang w:val="en-GB" w:eastAsia="zh-CN"/>
              </w:rPr>
              <w:t>  </w:t>
            </w: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 xml:space="preserve"> που παρατίθενται.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4C6169" w:rsidRPr="004C6169" w:rsidTr="000F3410">
        <w:tc>
          <w:tcPr>
            <w:tcW w:w="6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11</w:t>
            </w:r>
          </w:p>
        </w:tc>
        <w:tc>
          <w:tcPr>
            <w:tcW w:w="6382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eastAsia="zh-CN"/>
              </w:rPr>
              <w:t>Ζημίες από ανασφάλιστο όχημα.</w:t>
            </w:r>
          </w:p>
        </w:tc>
        <w:tc>
          <w:tcPr>
            <w:tcW w:w="1558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4C6169">
              <w:rPr>
                <w:rFonts w:ascii="Calibri" w:eastAsia="Times New Roman" w:hAnsi="Calibri" w:cs="Calibri"/>
                <w:szCs w:val="24"/>
                <w:lang w:val="en-GB" w:eastAsia="zh-CN"/>
              </w:rPr>
              <w:t>ΝΑΙ</w:t>
            </w:r>
          </w:p>
        </w:tc>
        <w:tc>
          <w:tcPr>
            <w:tcW w:w="1257" w:type="dxa"/>
            <w:shd w:val="clear" w:color="auto" w:fill="auto"/>
          </w:tcPr>
          <w:p w:rsidR="004C6169" w:rsidRPr="004C6169" w:rsidRDefault="004C6169" w:rsidP="004C6169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</w:tbl>
    <w:p w:rsidR="004C6169" w:rsidRPr="004C6169" w:rsidRDefault="004C6169" w:rsidP="004C6169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4C6169" w:rsidRPr="004C6169" w:rsidRDefault="004C6169" w:rsidP="004C6169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4C6169">
        <w:rPr>
          <w:rFonts w:ascii="Calibri" w:eastAsia="Times New Roman" w:hAnsi="Calibri" w:cs="Calibri"/>
          <w:szCs w:val="24"/>
          <w:lang w:eastAsia="zh-CN"/>
        </w:rPr>
        <w:t>Στη στήλη «ΤΕΧΝΙΚΑ ΧΑΡΑΚΤΗΡΙΣΤΙΚΑ» , περιλαμβάνονται αναλυτικά οι αντίστοιχες τεχνικές προδιαγραφές για τις οποίες θα πρέπει να δοθούν απαντήσεις</w:t>
      </w:r>
    </w:p>
    <w:p w:rsidR="004C6169" w:rsidRPr="004C6169" w:rsidRDefault="004C6169" w:rsidP="004C6169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4C6169" w:rsidRPr="004C6169" w:rsidRDefault="004C6169" w:rsidP="004C6169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4C6169">
        <w:rPr>
          <w:rFonts w:ascii="Calibri" w:eastAsia="Times New Roman" w:hAnsi="Calibri" w:cs="Calibri"/>
          <w:szCs w:val="24"/>
          <w:lang w:eastAsia="zh-CN"/>
        </w:rPr>
        <w:t xml:space="preserve">Αν στη στήλη «ΑΠΑΙΤΗΣΗ» είναι συμπληρωμένη η λέξη «ΝΑΙ» τότε η αντίστοιχη προδιαγραφή είναι υποχρεωτική για τον προσφέροντα , θεωρούμενη ως απαράβατος όρος </w:t>
      </w:r>
      <w:r w:rsidRPr="004C6169">
        <w:rPr>
          <w:rFonts w:ascii="Calibri" w:eastAsia="Times New Roman" w:hAnsi="Calibri" w:cs="Calibri"/>
          <w:szCs w:val="24"/>
          <w:lang w:eastAsia="zh-CN"/>
        </w:rPr>
        <w:lastRenderedPageBreak/>
        <w:t>σύμφωνα με τη διακήρυξη και άρα στη στήλη «ΑΠΑΝΤΗΣΗ» θα πρέπει να συμπληρωθεί από τους οικονομικούς φορείς αντίστοιχο «ΝΑΙ»</w:t>
      </w:r>
    </w:p>
    <w:p w:rsidR="004C6169" w:rsidRPr="004C6169" w:rsidRDefault="004C6169" w:rsidP="004C6169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83E49" w:rsidRDefault="00783E49" w:rsidP="004C6169"/>
    <w:p w:rsidR="00405D5B" w:rsidRDefault="00405D5B" w:rsidP="004C6169">
      <w:bookmarkStart w:id="0" w:name="_GoBack"/>
      <w:bookmarkEnd w:id="0"/>
    </w:p>
    <w:sectPr w:rsidR="00405D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69"/>
    <w:rsid w:val="00405D5B"/>
    <w:rsid w:val="004C6169"/>
    <w:rsid w:val="00783E49"/>
    <w:rsid w:val="00B4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0DB1"/>
  <w15:chartTrackingRefBased/>
  <w15:docId w15:val="{9F11BCB6-AD3E-4349-8E31-26DDD9A7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AVALAVANI</dc:creator>
  <cp:keywords/>
  <dc:description/>
  <cp:lastModifiedBy>AVALAVANI</cp:lastModifiedBy>
  <cp:revision>3</cp:revision>
  <cp:lastPrinted>2025-04-11T06:14:00Z</cp:lastPrinted>
  <dcterms:created xsi:type="dcterms:W3CDTF">2025-04-11T05:57:00Z</dcterms:created>
  <dcterms:modified xsi:type="dcterms:W3CDTF">2025-04-11T06:14:00Z</dcterms:modified>
</cp:coreProperties>
</file>